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42953" w14:textId="0DCB259F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bookmarkStart w:id="0" w:name="_GoBack"/>
      <w:bookmarkEnd w:id="0"/>
      <w:r w:rsidRPr="003A1748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POTENCJAŁ PRZEMIAN SPOŁECZNYCH ZAWARTY W FILMIE </w:t>
      </w:r>
      <w:r w:rsidRPr="003A1748">
        <w:rPr>
          <w:rFonts w:ascii="Times New Roman" w:eastAsia="Times New Roman" w:hAnsi="Times New Roman" w:cs="Times New Roman"/>
          <w:sz w:val="40"/>
          <w:szCs w:val="40"/>
          <w:lang w:eastAsia="pl-PL"/>
        </w:rPr>
        <w:br/>
        <w:t>„MOC PRYMASA TYSIĄCLECIA” Jacka Bąka</w:t>
      </w:r>
    </w:p>
    <w:p w14:paraId="051CF213" w14:textId="77777777" w:rsid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AD79F" w14:textId="51D21FDB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Film Moc Prymasa Tysiąclecia stanowi przystępne kompendium wiedzy o kształtowaniu się stanu faktycznego zaistniałego po II Wojnie Światowej na terytorium Polski. Film jest materialnym świadectwem ukształtowanie relacji Państwo-Kościół, w drodze terroru i pogwałcenia prawa  (legalnego, bo dwustronnie ustanowionego, w drodze porozumienia). Kolejnym etapem była subsumpcja odwrócona ("dajcie człowieka, a paragraf się znajdzie"). Zbrodnię przeciwko ludzkości uzasadniano formalnie obowiązującym prawem (por. fabrykowanie spisku szpiegowskiego, czy podstawa aresztowania Prymasa Wyszyńskiego tj. "łamania porozumienia"). W jurysprudencji stan ten określą się jako Podwójne Państwo (</w:t>
      </w:r>
      <w:proofErr w:type="spellStart"/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Doppelstadt</w:t>
      </w:r>
      <w:proofErr w:type="spellEnd"/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). Desygnatom nadaje się nowe nazwy, a podmienione nazwy stanowią dyspozycję norm ustanawiających zakazy i nakazy, sankcjonowane karami. Uprawnienia i dozwolenia są tylko formalnie obowiązujące, ale nie wykonalne. Ich obwieszczenie na piśmie ma być dowodem praworządności systemu (skoro uprawnienia i dozwolenia formalnie obowiązują, to Ludzie są wolni). Konstrukcja Podwójnego Państwa została opisana przez naukowców na podstawie studium wprowadzania nazizmu. </w:t>
      </w:r>
    </w:p>
    <w:p w14:paraId="754EE286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520DE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Film Moc Prymasa Tysiąclecia daje podstawy dowodowe, na przykładzie relacji Państwo-Kościół, że stan Podwójnego Państw miał miejsce w Polsce po II Wojnie Światowej. Prymas Wyszyński jako ówczesny podmiot stosunków prawa publicznego dokładnie go rozpoznał i wraz ze Współpracownikami oraz Wiernymi, był Świadkiem genezy zbrodni przeciwko ludzkości, a także zainicjował żmudny proces przywracania praworządności.  Wszak w 1977 r. PRL ratyfikował umowy międzynarodowe - stanowiące traktatowy zapis Powszechnej Deklaracji Praw Człowieka (element wycofywania zapowiadający zwycięstwo). Następny krokiem w tej dziedzinie było utworzenie Urzędu Ombudsmana (1988 r.). Rzeczypospolita Polska wciąż boryka się ze skutkami Podwójnego Państwa. Godność Człowieka współdziała z Wolnością Religijną (bo ta obejmuje też swobodę myśli i sumienia). Prawa Człowieka są niepodzielne, współistniejąca, a także równorzędne np. w filmie występują dowód naruszenia np. tajemnicy komunikowania się oraz świętego prawa własności (dostępność Obywatela dla Władzy "gdy drzwi są otwarte") - co łącznie narusza Wolność Religijną. Czy Prawa Człowieka to sprawa konkretnej, lokalnej Władzy? Nie. Wtedy wracamy do Podwójnego Państwa. </w:t>
      </w:r>
    </w:p>
    <w:p w14:paraId="52DADDF5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1DCD7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Moc Prymasa Tysiąclecia polega na daniu Nam duchowych "narzędzi" do skutecznego rozmontowania systemu Podwójnego Państwa. Żadne normy prawne, bez względu na ilość zapisów i surowość sankcji, nie zaistnieje bez obowiązujących (naturalnie) podstaw moralnych. To nadmiar tekstów prawnych, kazuistyka i surowość sankcji - świadczą o deficycie norm.</w:t>
      </w:r>
    </w:p>
    <w:p w14:paraId="5E01FFF7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59B19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te "narzędzia"? To stanowi puentę Filmu.</w:t>
      </w:r>
    </w:p>
    <w:p w14:paraId="70DBC4ED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EB6CD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Z wyrazami gratulacji</w:t>
      </w:r>
    </w:p>
    <w:p w14:paraId="4757B64E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Jaworek</w:t>
      </w:r>
    </w:p>
    <w:p w14:paraId="0AF9B464" w14:textId="77777777" w:rsidR="003A1748" w:rsidRPr="003A1748" w:rsidRDefault="003A1748" w:rsidP="003A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48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dn. 29.08.2021</w:t>
      </w:r>
    </w:p>
    <w:p w14:paraId="288A22F1" w14:textId="77777777" w:rsidR="00EE0CF4" w:rsidRDefault="00EE0CF4"/>
    <w:sectPr w:rsidR="00EE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48"/>
    <w:rsid w:val="003A1748"/>
    <w:rsid w:val="00506E3C"/>
    <w:rsid w:val="009958A3"/>
    <w:rsid w:val="00E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FDA6"/>
  <w15:chartTrackingRefBased/>
  <w15:docId w15:val="{B7C833F0-3B8B-4DE9-B1C8-4E3D96F4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Wójcik</dc:creator>
  <cp:keywords/>
  <dc:description/>
  <cp:lastModifiedBy>Wydział Duszpasterki i Sakramentalny</cp:lastModifiedBy>
  <cp:revision>2</cp:revision>
  <dcterms:created xsi:type="dcterms:W3CDTF">2021-09-16T10:11:00Z</dcterms:created>
  <dcterms:modified xsi:type="dcterms:W3CDTF">2021-09-16T10:11:00Z</dcterms:modified>
</cp:coreProperties>
</file>